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DF53B" w14:textId="77777777" w:rsidR="00D75FBC" w:rsidRDefault="00D6049D">
      <w:pPr>
        <w:tabs>
          <w:tab w:val="center" w:pos="1486"/>
        </w:tabs>
        <w:spacing w:after="0" w:line="259" w:lineRule="auto"/>
        <w:ind w:left="-314" w:right="0" w:firstLine="0"/>
        <w:jc w:val="left"/>
      </w:pPr>
      <w:r>
        <w:rPr>
          <w:b/>
          <w:noProof/>
          <w:position w:val="-48"/>
          <w:sz w:val="36"/>
        </w:rPr>
        <w:drawing>
          <wp:anchor distT="0" distB="0" distL="114300" distR="114300" simplePos="0" relativeHeight="251659264" behindDoc="0" locked="0" layoutInCell="1" allowOverlap="1" wp14:anchorId="2CCB34B5" wp14:editId="0AB1D415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1209675" cy="521335"/>
            <wp:effectExtent l="0" t="0" r="9525" b="0"/>
            <wp:wrapSquare wrapText="bothSides"/>
            <wp:docPr id="25" name="obrázek 25" descr="C:\Users\Uzivatel\Desktop\krnov-logo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zivatel\Desktop\krnov-logo-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AB3">
        <w:tab/>
        <w:t xml:space="preserve"> </w:t>
      </w:r>
    </w:p>
    <w:p w14:paraId="3F05DC88" w14:textId="77777777" w:rsidR="00D75FBC" w:rsidRDefault="00523AB3">
      <w:pPr>
        <w:spacing w:after="24" w:line="259" w:lineRule="auto"/>
        <w:ind w:left="46" w:right="0" w:firstLine="0"/>
        <w:jc w:val="left"/>
      </w:pPr>
      <w:r>
        <w:t xml:space="preserve"> </w:t>
      </w:r>
    </w:p>
    <w:p w14:paraId="5EEA303C" w14:textId="77777777" w:rsidR="00D6049D" w:rsidRDefault="00D6049D">
      <w:pPr>
        <w:spacing w:after="12" w:line="248" w:lineRule="auto"/>
        <w:ind w:left="41" w:right="0"/>
        <w:jc w:val="left"/>
      </w:pPr>
    </w:p>
    <w:p w14:paraId="59495E0A" w14:textId="77777777" w:rsidR="00D6049D" w:rsidRDefault="00D6049D">
      <w:pPr>
        <w:spacing w:after="12" w:line="248" w:lineRule="auto"/>
        <w:ind w:left="41" w:right="0"/>
        <w:jc w:val="left"/>
      </w:pPr>
    </w:p>
    <w:p w14:paraId="6EA98337" w14:textId="77777777" w:rsidR="00D75FBC" w:rsidRDefault="00D75FBC">
      <w:pPr>
        <w:spacing w:after="50" w:line="259" w:lineRule="auto"/>
        <w:ind w:left="46" w:right="0" w:firstLine="0"/>
        <w:jc w:val="left"/>
      </w:pPr>
    </w:p>
    <w:p w14:paraId="781BD029" w14:textId="77777777" w:rsidR="00D75FBC" w:rsidRPr="00D6049D" w:rsidRDefault="00523AB3">
      <w:pPr>
        <w:pStyle w:val="Nadpis1"/>
        <w:rPr>
          <w:u w:val="single"/>
        </w:rPr>
      </w:pPr>
      <w:r w:rsidRPr="00D6049D">
        <w:rPr>
          <w:u w:val="single"/>
        </w:rPr>
        <w:t xml:space="preserve">Seznámení s riziky společnosti pro návštěvy a externí firmy  </w:t>
      </w:r>
    </w:p>
    <w:p w14:paraId="5E0DA669" w14:textId="77777777" w:rsidR="00D75FBC" w:rsidRDefault="00523AB3">
      <w:pPr>
        <w:spacing w:after="0" w:line="259" w:lineRule="auto"/>
        <w:ind w:left="46" w:right="0" w:firstLine="0"/>
        <w:jc w:val="left"/>
      </w:pPr>
      <w:r>
        <w:t xml:space="preserve"> </w:t>
      </w:r>
    </w:p>
    <w:p w14:paraId="4CB5EB2D" w14:textId="77777777" w:rsidR="00D75FBC" w:rsidRDefault="00523AB3">
      <w:pPr>
        <w:spacing w:after="24" w:line="259" w:lineRule="auto"/>
        <w:ind w:left="46" w:right="0" w:firstLine="0"/>
        <w:jc w:val="left"/>
      </w:pPr>
      <w:r>
        <w:rPr>
          <w:b/>
        </w:rPr>
        <w:t xml:space="preserve"> </w:t>
      </w:r>
    </w:p>
    <w:p w14:paraId="7A0BFFCD" w14:textId="77777777" w:rsidR="00D75FBC" w:rsidRDefault="00523AB3">
      <w:pPr>
        <w:spacing w:after="227" w:line="248" w:lineRule="auto"/>
        <w:ind w:left="41" w:right="0"/>
        <w:jc w:val="left"/>
      </w:pPr>
      <w:r>
        <w:rPr>
          <w:b/>
        </w:rPr>
        <w:t xml:space="preserve">Seznámení s riziky pro návštěvy a zaměstnance externích firem (dále jen cizí osoby), zdržující se </w:t>
      </w:r>
      <w:r w:rsidR="00D6049D">
        <w:rPr>
          <w:b/>
        </w:rPr>
        <w:t xml:space="preserve">na pracovištích </w:t>
      </w:r>
      <w:r>
        <w:rPr>
          <w:b/>
        </w:rPr>
        <w:t xml:space="preserve">s vědomím společnosti </w:t>
      </w:r>
      <w:r w:rsidR="00D6049D">
        <w:rPr>
          <w:b/>
        </w:rPr>
        <w:t>Krnovské vodovody a kanalizace</w:t>
      </w:r>
      <w:r>
        <w:rPr>
          <w:b/>
        </w:rPr>
        <w:t xml:space="preserve"> ( dále jen </w:t>
      </w:r>
      <w:proofErr w:type="spellStart"/>
      <w:proofErr w:type="gramStart"/>
      <w:r w:rsidR="00B7778F">
        <w:rPr>
          <w:b/>
        </w:rPr>
        <w:t>KVaK</w:t>
      </w:r>
      <w:proofErr w:type="spellEnd"/>
      <w:r>
        <w:rPr>
          <w:b/>
        </w:rPr>
        <w:t xml:space="preserve"> ).</w:t>
      </w:r>
      <w:proofErr w:type="gramEnd"/>
      <w:r>
        <w:rPr>
          <w:b/>
        </w:rPr>
        <w:t xml:space="preserve"> </w:t>
      </w:r>
    </w:p>
    <w:p w14:paraId="39614F3D" w14:textId="77777777" w:rsidR="00D75FBC" w:rsidRDefault="00523AB3">
      <w:pPr>
        <w:spacing w:after="91" w:line="248" w:lineRule="auto"/>
        <w:ind w:left="41" w:right="0"/>
        <w:jc w:val="left"/>
      </w:pPr>
      <w:r>
        <w:rPr>
          <w:b/>
        </w:rPr>
        <w:t xml:space="preserve">Základní ustanovení </w:t>
      </w:r>
    </w:p>
    <w:p w14:paraId="6529A310" w14:textId="77777777" w:rsidR="00D75FBC" w:rsidRDefault="00523AB3">
      <w:pPr>
        <w:ind w:left="53" w:right="0"/>
      </w:pPr>
      <w:r>
        <w:t>Tyto bezpečnostní pokyny platí pro všechny cizí osoby, které se zúčastňují prohlídek provozu, investiční výstavb</w:t>
      </w:r>
      <w:r w:rsidR="00502D10">
        <w:t>y, montáži</w:t>
      </w:r>
      <w:r>
        <w:t xml:space="preserve">, opravách, údržbě, kontrolách nebo měření na pracovištích společnosti </w:t>
      </w:r>
      <w:proofErr w:type="spellStart"/>
      <w:r w:rsidR="00B7778F">
        <w:t>KV</w:t>
      </w:r>
      <w:r w:rsidR="006F41CE">
        <w:t>a</w:t>
      </w:r>
      <w:r w:rsidR="00B7778F">
        <w:t>K</w:t>
      </w:r>
      <w:proofErr w:type="spellEnd"/>
      <w:r>
        <w:t xml:space="preserve">.  </w:t>
      </w:r>
    </w:p>
    <w:p w14:paraId="096176BB" w14:textId="77777777" w:rsidR="00D75FBC" w:rsidRDefault="00523AB3" w:rsidP="00D6049D">
      <w:pPr>
        <w:spacing w:after="59"/>
        <w:ind w:left="41" w:right="0"/>
      </w:pPr>
      <w:r>
        <w:t xml:space="preserve">Je povinností všech vedoucích zaměstnanců externích firem své podřízené s těmito bezpečnostními pokyny seznámit a jimi se řídit. Seznámení s těmito bezpečnostními pokyny musí vedoucí zaměstnanec externí firmy na základě požadavku pověřeného zaměstnance </w:t>
      </w:r>
      <w:r w:rsidR="00B7778F">
        <w:t>KVAK</w:t>
      </w:r>
      <w:r>
        <w:t xml:space="preserve">, prokázat písemnou formou. Tyto originály presenčních listin budou uloženy u příslušných vedoucích zaměstnanců. </w:t>
      </w:r>
    </w:p>
    <w:p w14:paraId="7B149635" w14:textId="77777777" w:rsidR="00D75FBC" w:rsidRDefault="00523AB3">
      <w:pPr>
        <w:spacing w:after="226" w:line="259" w:lineRule="auto"/>
        <w:ind w:left="41" w:right="0" w:firstLine="0"/>
        <w:jc w:val="center"/>
      </w:pPr>
      <w:r>
        <w:rPr>
          <w:sz w:val="28"/>
        </w:rPr>
        <w:t>Zdržování se mimo prostor vyhrazený pro jednání jen na vlastní nebezpečí!</w:t>
      </w:r>
      <w:r>
        <w:rPr>
          <w:sz w:val="20"/>
        </w:rPr>
        <w:t xml:space="preserve"> </w:t>
      </w:r>
    </w:p>
    <w:p w14:paraId="5FD36AE2" w14:textId="77777777" w:rsidR="00D75FBC" w:rsidRDefault="00523AB3">
      <w:pPr>
        <w:spacing w:after="96" w:line="248" w:lineRule="auto"/>
        <w:ind w:left="41" w:right="0"/>
        <w:jc w:val="left"/>
      </w:pPr>
      <w:r>
        <w:rPr>
          <w:b/>
        </w:rPr>
        <w:t xml:space="preserve">Vyhodnocení rizik pro zaměstnance externích firem </w:t>
      </w:r>
    </w:p>
    <w:p w14:paraId="4CB85537" w14:textId="77777777" w:rsidR="00D75FBC" w:rsidRDefault="00523AB3">
      <w:pPr>
        <w:spacing w:after="0" w:line="259" w:lineRule="auto"/>
        <w:ind w:left="41" w:right="0"/>
        <w:jc w:val="left"/>
      </w:pPr>
      <w:r>
        <w:rPr>
          <w:b/>
          <w:u w:val="single" w:color="000000"/>
        </w:rPr>
        <w:t xml:space="preserve">Výrobní a </w:t>
      </w:r>
      <w:r w:rsidR="002D6CED">
        <w:rPr>
          <w:b/>
          <w:u w:val="single" w:color="000000"/>
        </w:rPr>
        <w:t>obslužné</w:t>
      </w:r>
      <w:r>
        <w:rPr>
          <w:b/>
          <w:u w:val="single" w:color="000000"/>
        </w:rPr>
        <w:t xml:space="preserve"> prostory – </w:t>
      </w:r>
      <w:r w:rsidR="00D6049D">
        <w:rPr>
          <w:b/>
          <w:u w:val="single" w:color="000000"/>
        </w:rPr>
        <w:t>areál společnosti</w:t>
      </w:r>
      <w:r w:rsidR="000F24A0">
        <w:rPr>
          <w:b/>
          <w:u w:val="single" w:color="000000"/>
        </w:rPr>
        <w:t>,</w:t>
      </w:r>
      <w:r w:rsidR="00D6049D">
        <w:rPr>
          <w:b/>
          <w:u w:val="single" w:color="000000"/>
        </w:rPr>
        <w:t xml:space="preserve"> úpravna vody</w:t>
      </w:r>
      <w:r w:rsidR="000F24A0">
        <w:rPr>
          <w:b/>
          <w:u w:val="single" w:color="000000"/>
        </w:rPr>
        <w:t xml:space="preserve">, </w:t>
      </w:r>
      <w:r w:rsidR="00FA6092">
        <w:rPr>
          <w:b/>
          <w:u w:val="single" w:color="000000"/>
        </w:rPr>
        <w:t xml:space="preserve">vodojemy, </w:t>
      </w:r>
      <w:r w:rsidR="000F24A0">
        <w:rPr>
          <w:b/>
          <w:u w:val="single" w:color="000000"/>
        </w:rPr>
        <w:t>areál ČOV</w:t>
      </w:r>
      <w:r>
        <w:rPr>
          <w:b/>
        </w:rPr>
        <w:t xml:space="preserve"> </w:t>
      </w:r>
    </w:p>
    <w:p w14:paraId="56A9F526" w14:textId="77777777" w:rsidR="00D75FBC" w:rsidRDefault="00523AB3">
      <w:pPr>
        <w:ind w:left="53" w:right="0"/>
      </w:pPr>
      <w:r>
        <w:t xml:space="preserve">Vstup na pracoviště za účelem provedení sjednané práce je povolen jen těm, kteří jsou doprovázeni pověřeným zaměstnancem </w:t>
      </w:r>
      <w:proofErr w:type="spellStart"/>
      <w:r w:rsidR="00B7778F">
        <w:t>KVaK</w:t>
      </w:r>
      <w:proofErr w:type="spellEnd"/>
      <w:r>
        <w:t xml:space="preserve"> a jsou seznámeni s těmito pokyny. Neseznámeným osobám je vstup do výrobních a </w:t>
      </w:r>
      <w:r w:rsidR="002D6CED">
        <w:t>obslužn</w:t>
      </w:r>
      <w:r w:rsidR="00D6049D">
        <w:t>ých prostor</w:t>
      </w:r>
      <w:r>
        <w:t xml:space="preserve"> a pomocných provozů zakázán. Vstup do </w:t>
      </w:r>
      <w:r w:rsidR="00D6049D">
        <w:t>těchto prostor</w:t>
      </w:r>
      <w:r>
        <w:t xml:space="preserve"> je zaměstnancům externích firem dovolen jen tam, </w:t>
      </w:r>
      <w:r w:rsidR="00FA6092">
        <w:t>kde pracují</w:t>
      </w:r>
      <w:r>
        <w:t xml:space="preserve">. Osoby pohybující se po pracovištích </w:t>
      </w:r>
      <w:proofErr w:type="spellStart"/>
      <w:r w:rsidR="00B7778F">
        <w:t>KVaK</w:t>
      </w:r>
      <w:proofErr w:type="spellEnd"/>
      <w:r w:rsidR="00D6049D">
        <w:t xml:space="preserve"> musí</w:t>
      </w:r>
      <w:r>
        <w:t xml:space="preserve"> být viditelně označeny vizitkou. Při pohybu po pracovištích je nutno dbát zvýšené opatrnosti </w:t>
      </w:r>
      <w:r w:rsidR="00D6049D">
        <w:t>a svou</w:t>
      </w:r>
      <w:r>
        <w:t xml:space="preserve"> </w:t>
      </w:r>
      <w:r w:rsidR="00D6049D">
        <w:t>přítomností nebo</w:t>
      </w:r>
      <w:r>
        <w:t xml:space="preserve"> činností neomezovat nebo neohrožovat zaměstnance </w:t>
      </w:r>
      <w:proofErr w:type="spellStart"/>
      <w:r w:rsidR="00B7778F">
        <w:t>KVaK</w:t>
      </w:r>
      <w:proofErr w:type="spellEnd"/>
      <w:r>
        <w:t xml:space="preserve">.  </w:t>
      </w:r>
    </w:p>
    <w:p w14:paraId="512E884C" w14:textId="77777777" w:rsidR="00D75FBC" w:rsidRDefault="00D75FBC">
      <w:pPr>
        <w:spacing w:after="30" w:line="259" w:lineRule="auto"/>
        <w:ind w:left="46" w:right="0" w:firstLine="0"/>
        <w:jc w:val="left"/>
      </w:pPr>
    </w:p>
    <w:p w14:paraId="012FAF1E" w14:textId="77777777" w:rsidR="00D75FBC" w:rsidRDefault="00523AB3">
      <w:pPr>
        <w:spacing w:after="38" w:line="248" w:lineRule="auto"/>
        <w:ind w:left="41" w:right="0"/>
        <w:jc w:val="left"/>
      </w:pPr>
      <w:r>
        <w:rPr>
          <w:b/>
        </w:rPr>
        <w:t xml:space="preserve">RIZIKA možného ohrožení života a zdraví pro externí </w:t>
      </w:r>
      <w:r w:rsidR="00D6049D">
        <w:rPr>
          <w:b/>
        </w:rPr>
        <w:t>zaměstnance</w:t>
      </w:r>
      <w:r>
        <w:rPr>
          <w:b/>
        </w:rPr>
        <w:t xml:space="preserve"> </w:t>
      </w:r>
    </w:p>
    <w:p w14:paraId="1D5DCDC5" w14:textId="77777777" w:rsidR="002D6CED" w:rsidRPr="002D6CED" w:rsidRDefault="00523AB3">
      <w:pPr>
        <w:numPr>
          <w:ilvl w:val="0"/>
          <w:numId w:val="2"/>
        </w:numPr>
        <w:spacing w:after="38" w:line="248" w:lineRule="auto"/>
        <w:ind w:right="0" w:hanging="360"/>
        <w:jc w:val="left"/>
      </w:pPr>
      <w:r>
        <w:rPr>
          <w:b/>
        </w:rPr>
        <w:t xml:space="preserve">pád, zakopnutí, uklouznutí (pohyb </w:t>
      </w:r>
      <w:r w:rsidR="00FA6092">
        <w:rPr>
          <w:b/>
        </w:rPr>
        <w:t>osob – nerovnosti</w:t>
      </w:r>
      <w:r>
        <w:rPr>
          <w:b/>
        </w:rPr>
        <w:t xml:space="preserve"> podlah,</w:t>
      </w:r>
      <w:r w:rsidR="00D6049D">
        <w:rPr>
          <w:b/>
        </w:rPr>
        <w:t xml:space="preserve"> </w:t>
      </w:r>
      <w:r>
        <w:rPr>
          <w:b/>
        </w:rPr>
        <w:t>úniky olejů či jiných kapalin)</w:t>
      </w:r>
    </w:p>
    <w:p w14:paraId="32ABB711" w14:textId="77777777" w:rsidR="002D6CED" w:rsidRPr="002D6CED" w:rsidRDefault="002D6CED">
      <w:pPr>
        <w:numPr>
          <w:ilvl w:val="0"/>
          <w:numId w:val="2"/>
        </w:numPr>
        <w:spacing w:after="38" w:line="248" w:lineRule="auto"/>
        <w:ind w:right="0" w:hanging="360"/>
        <w:jc w:val="left"/>
      </w:pPr>
      <w:r>
        <w:rPr>
          <w:b/>
        </w:rPr>
        <w:t>pád z </w:t>
      </w:r>
      <w:proofErr w:type="gramStart"/>
      <w:r>
        <w:rPr>
          <w:b/>
        </w:rPr>
        <w:t>výšky(vodojemy</w:t>
      </w:r>
      <w:proofErr w:type="gramEnd"/>
      <w:r>
        <w:rPr>
          <w:b/>
        </w:rPr>
        <w:t>)</w:t>
      </w:r>
    </w:p>
    <w:p w14:paraId="009AC482" w14:textId="77777777" w:rsidR="002D6CED" w:rsidRPr="002D6CED" w:rsidRDefault="002D6CED">
      <w:pPr>
        <w:numPr>
          <w:ilvl w:val="0"/>
          <w:numId w:val="2"/>
        </w:numPr>
        <w:spacing w:after="38" w:line="248" w:lineRule="auto"/>
        <w:ind w:right="0" w:hanging="360"/>
        <w:jc w:val="left"/>
      </w:pPr>
      <w:r>
        <w:rPr>
          <w:b/>
        </w:rPr>
        <w:t>utonutí (vodojemy)</w:t>
      </w:r>
    </w:p>
    <w:p w14:paraId="4C716955" w14:textId="77777777" w:rsidR="00D75FBC" w:rsidRDefault="002D6CED">
      <w:pPr>
        <w:numPr>
          <w:ilvl w:val="0"/>
          <w:numId w:val="2"/>
        </w:numPr>
        <w:spacing w:after="38" w:line="248" w:lineRule="auto"/>
        <w:ind w:right="0" w:hanging="360"/>
        <w:jc w:val="left"/>
      </w:pPr>
      <w:r>
        <w:rPr>
          <w:b/>
        </w:rPr>
        <w:t>otravy plynem (chlorové hospodářství-úpravna vody)</w:t>
      </w:r>
      <w:r w:rsidR="00523AB3">
        <w:rPr>
          <w:b/>
        </w:rPr>
        <w:t xml:space="preserve"> </w:t>
      </w:r>
    </w:p>
    <w:p w14:paraId="35E2C99F" w14:textId="77777777" w:rsidR="00D75FBC" w:rsidRDefault="00523AB3">
      <w:pPr>
        <w:numPr>
          <w:ilvl w:val="0"/>
          <w:numId w:val="2"/>
        </w:numPr>
        <w:spacing w:after="38" w:line="248" w:lineRule="auto"/>
        <w:ind w:right="0" w:hanging="360"/>
        <w:jc w:val="left"/>
      </w:pPr>
      <w:r>
        <w:rPr>
          <w:b/>
        </w:rPr>
        <w:t xml:space="preserve">střet osoby s dopravním prostředkem </w:t>
      </w:r>
      <w:r w:rsidR="00D6049D">
        <w:rPr>
          <w:b/>
        </w:rPr>
        <w:t>(osobní</w:t>
      </w:r>
      <w:r>
        <w:rPr>
          <w:b/>
        </w:rPr>
        <w:t xml:space="preserve"> nebo nákladní automobil) </w:t>
      </w:r>
    </w:p>
    <w:p w14:paraId="585D9707" w14:textId="77777777" w:rsidR="00D75FBC" w:rsidRDefault="00523AB3">
      <w:pPr>
        <w:numPr>
          <w:ilvl w:val="0"/>
          <w:numId w:val="2"/>
        </w:numPr>
        <w:spacing w:after="38" w:line="248" w:lineRule="auto"/>
        <w:ind w:right="0" w:hanging="360"/>
        <w:jc w:val="left"/>
      </w:pPr>
      <w:r>
        <w:rPr>
          <w:b/>
        </w:rPr>
        <w:t xml:space="preserve">střet osoby s </w:t>
      </w:r>
      <w:r w:rsidR="00D6049D">
        <w:rPr>
          <w:b/>
        </w:rPr>
        <w:t>manipulačním prostředkem</w:t>
      </w:r>
      <w:r>
        <w:rPr>
          <w:b/>
        </w:rPr>
        <w:t xml:space="preserve"> (</w:t>
      </w:r>
      <w:r w:rsidR="00FA6092">
        <w:rPr>
          <w:b/>
        </w:rPr>
        <w:t>nakladač</w:t>
      </w:r>
      <w:r>
        <w:rPr>
          <w:b/>
        </w:rPr>
        <w:t xml:space="preserve">)   </w:t>
      </w:r>
    </w:p>
    <w:p w14:paraId="1977BF36" w14:textId="77777777" w:rsidR="00D75FBC" w:rsidRDefault="00523AB3">
      <w:pPr>
        <w:numPr>
          <w:ilvl w:val="0"/>
          <w:numId w:val="2"/>
        </w:numPr>
        <w:spacing w:after="38" w:line="248" w:lineRule="auto"/>
        <w:ind w:right="0" w:hanging="360"/>
        <w:jc w:val="left"/>
      </w:pPr>
      <w:r>
        <w:rPr>
          <w:b/>
        </w:rPr>
        <w:t xml:space="preserve">pád břemene, přimáčknutí, </w:t>
      </w:r>
      <w:r w:rsidR="00D6049D">
        <w:rPr>
          <w:b/>
        </w:rPr>
        <w:t>naražení břemenem</w:t>
      </w:r>
      <w:r>
        <w:rPr>
          <w:b/>
        </w:rPr>
        <w:t xml:space="preserve"> (provoz jeřábů,</w:t>
      </w:r>
      <w:r w:rsidR="00D6049D">
        <w:rPr>
          <w:b/>
        </w:rPr>
        <w:t>)</w:t>
      </w:r>
      <w:r>
        <w:rPr>
          <w:b/>
        </w:rPr>
        <w:t xml:space="preserve"> </w:t>
      </w:r>
    </w:p>
    <w:p w14:paraId="21EF4207" w14:textId="77777777" w:rsidR="00D75FBC" w:rsidRDefault="00523AB3">
      <w:pPr>
        <w:numPr>
          <w:ilvl w:val="0"/>
          <w:numId w:val="2"/>
        </w:numPr>
        <w:spacing w:after="38" w:line="248" w:lineRule="auto"/>
        <w:ind w:right="0" w:hanging="360"/>
        <w:jc w:val="left"/>
      </w:pPr>
      <w:r>
        <w:rPr>
          <w:b/>
        </w:rPr>
        <w:t xml:space="preserve">kontakt osoby s elektrickým zařízením, úraz elektrickým proudem (manipulace s elektrickými zařízeními) </w:t>
      </w:r>
    </w:p>
    <w:p w14:paraId="72C4BDFD" w14:textId="6E8E4FD4" w:rsidR="00D6049D" w:rsidRDefault="00D6049D">
      <w:pPr>
        <w:spacing w:after="95" w:line="248" w:lineRule="auto"/>
        <w:ind w:left="41" w:right="0"/>
        <w:jc w:val="left"/>
        <w:rPr>
          <w:b/>
        </w:rPr>
      </w:pPr>
    </w:p>
    <w:p w14:paraId="649976CB" w14:textId="6E6F3078" w:rsidR="00172FFB" w:rsidRDefault="00172FFB">
      <w:pPr>
        <w:spacing w:after="95" w:line="248" w:lineRule="auto"/>
        <w:ind w:left="41" w:right="0"/>
        <w:jc w:val="left"/>
        <w:rPr>
          <w:b/>
        </w:rPr>
      </w:pPr>
    </w:p>
    <w:p w14:paraId="3AA36CEC" w14:textId="77777777" w:rsidR="00172FFB" w:rsidRDefault="00172FFB">
      <w:pPr>
        <w:spacing w:after="95" w:line="248" w:lineRule="auto"/>
        <w:ind w:left="41" w:right="0"/>
        <w:jc w:val="left"/>
        <w:rPr>
          <w:b/>
        </w:rPr>
      </w:pPr>
    </w:p>
    <w:p w14:paraId="00B97CA3" w14:textId="77777777" w:rsidR="00D75FBC" w:rsidRDefault="00523AB3">
      <w:pPr>
        <w:spacing w:after="95" w:line="248" w:lineRule="auto"/>
        <w:ind w:left="41" w:right="0"/>
        <w:jc w:val="left"/>
      </w:pPr>
      <w:r>
        <w:rPr>
          <w:b/>
        </w:rPr>
        <w:lastRenderedPageBreak/>
        <w:t>Zakázané činnosti</w:t>
      </w:r>
      <w:r w:rsidR="00502D10">
        <w:rPr>
          <w:b/>
        </w:rPr>
        <w:t>*</w:t>
      </w:r>
      <w:r>
        <w:rPr>
          <w:b/>
        </w:rPr>
        <w:t xml:space="preserve"> </w:t>
      </w:r>
    </w:p>
    <w:p w14:paraId="66EF3814" w14:textId="77777777" w:rsidR="002D6CED" w:rsidRDefault="002D6CED">
      <w:pPr>
        <w:spacing w:after="38" w:line="248" w:lineRule="auto"/>
        <w:ind w:left="41" w:right="0"/>
        <w:jc w:val="left"/>
        <w:rPr>
          <w:b/>
        </w:rPr>
      </w:pPr>
    </w:p>
    <w:p w14:paraId="02474052" w14:textId="77777777" w:rsidR="002D6CED" w:rsidRDefault="002D6CED">
      <w:pPr>
        <w:spacing w:after="38" w:line="248" w:lineRule="auto"/>
        <w:ind w:left="41" w:right="0"/>
        <w:jc w:val="left"/>
        <w:rPr>
          <w:b/>
        </w:rPr>
      </w:pPr>
      <w:r>
        <w:rPr>
          <w:b/>
        </w:rPr>
        <w:t>Je zakázáno vhazovat jakékoliv chemické látky či předměty do nádrží vodojemů.</w:t>
      </w:r>
    </w:p>
    <w:p w14:paraId="027B3BB2" w14:textId="77777777" w:rsidR="00D75FBC" w:rsidRDefault="00523AB3">
      <w:pPr>
        <w:spacing w:after="38" w:line="248" w:lineRule="auto"/>
        <w:ind w:left="41" w:right="0"/>
        <w:jc w:val="left"/>
      </w:pPr>
      <w:r>
        <w:rPr>
          <w:b/>
        </w:rPr>
        <w:t>Je zakázáno zdržovati se bezdůvodně blízko strojů</w:t>
      </w:r>
      <w:r w:rsidR="002D6CED">
        <w:rPr>
          <w:b/>
        </w:rPr>
        <w:t xml:space="preserve"> a jakákoliv manipulace s nimi</w:t>
      </w:r>
      <w:r>
        <w:rPr>
          <w:b/>
        </w:rPr>
        <w:t xml:space="preserve">. </w:t>
      </w:r>
    </w:p>
    <w:p w14:paraId="4CADCE18" w14:textId="77777777" w:rsidR="00D75FBC" w:rsidRDefault="00523AB3">
      <w:pPr>
        <w:spacing w:after="38" w:line="248" w:lineRule="auto"/>
        <w:ind w:left="41" w:right="0"/>
        <w:jc w:val="left"/>
      </w:pPr>
      <w:r>
        <w:rPr>
          <w:b/>
        </w:rPr>
        <w:t>Je zakázáno vypínat nebo zapínat jakákoliv elektrická zařízení nebo elektrické rozvaděče.</w:t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</w:p>
    <w:p w14:paraId="42C8428F" w14:textId="77777777" w:rsidR="00D75FBC" w:rsidRDefault="00523AB3">
      <w:pPr>
        <w:spacing w:after="38" w:line="248" w:lineRule="auto"/>
        <w:ind w:left="41" w:right="0"/>
        <w:jc w:val="left"/>
      </w:pPr>
      <w:r>
        <w:rPr>
          <w:b/>
        </w:rPr>
        <w:t xml:space="preserve">Je zakázáno používat zdvihací zařízení </w:t>
      </w:r>
      <w:proofErr w:type="spellStart"/>
      <w:r w:rsidR="00B7778F">
        <w:rPr>
          <w:b/>
        </w:rPr>
        <w:t>KVaK</w:t>
      </w:r>
      <w:proofErr w:type="spellEnd"/>
      <w:r>
        <w:rPr>
          <w:b/>
        </w:rPr>
        <w:t xml:space="preserve">. </w:t>
      </w:r>
    </w:p>
    <w:p w14:paraId="17AE43F7" w14:textId="77777777" w:rsidR="00D75FBC" w:rsidRDefault="00523AB3">
      <w:pPr>
        <w:spacing w:after="38" w:line="248" w:lineRule="auto"/>
        <w:ind w:left="41" w:right="0"/>
        <w:jc w:val="left"/>
      </w:pPr>
      <w:r>
        <w:rPr>
          <w:b/>
        </w:rPr>
        <w:t xml:space="preserve">Je zakázáno používat manipulační prostředky </w:t>
      </w:r>
      <w:proofErr w:type="spellStart"/>
      <w:r w:rsidR="00B7778F">
        <w:rPr>
          <w:b/>
        </w:rPr>
        <w:t>KVaK</w:t>
      </w:r>
      <w:proofErr w:type="spellEnd"/>
      <w:r w:rsidR="002D6CED">
        <w:rPr>
          <w:b/>
        </w:rPr>
        <w:t xml:space="preserve">, pokud je neobsluhují zaměstnanci </w:t>
      </w:r>
      <w:proofErr w:type="spellStart"/>
      <w:r w:rsidR="002D6CED">
        <w:rPr>
          <w:b/>
        </w:rPr>
        <w:t>KVaK</w:t>
      </w:r>
      <w:proofErr w:type="spellEnd"/>
      <w:r>
        <w:rPr>
          <w:b/>
        </w:rPr>
        <w:t xml:space="preserve">. </w:t>
      </w:r>
    </w:p>
    <w:p w14:paraId="1372104F" w14:textId="77777777" w:rsidR="00502D10" w:rsidRDefault="00502D10">
      <w:pPr>
        <w:spacing w:after="254"/>
        <w:ind w:left="53" w:right="0"/>
        <w:rPr>
          <w:b/>
          <w:u w:val="single"/>
        </w:rPr>
      </w:pPr>
    </w:p>
    <w:p w14:paraId="19E8554F" w14:textId="77777777" w:rsidR="00FA6092" w:rsidRDefault="00FA6092">
      <w:pPr>
        <w:spacing w:after="254"/>
        <w:ind w:left="53" w:right="0"/>
        <w:rPr>
          <w:b/>
          <w:u w:val="single"/>
        </w:rPr>
      </w:pPr>
      <w:r>
        <w:rPr>
          <w:b/>
          <w:u w:val="single"/>
        </w:rPr>
        <w:t>Technologie v areálu ČOV</w:t>
      </w:r>
    </w:p>
    <w:p w14:paraId="011D6A6E" w14:textId="77777777" w:rsidR="006750B7" w:rsidRDefault="00FA6092">
      <w:pPr>
        <w:spacing w:after="254"/>
        <w:ind w:left="53" w:right="0"/>
      </w:pPr>
      <w:r>
        <w:t xml:space="preserve">V prostorách ČOV na </w:t>
      </w:r>
      <w:proofErr w:type="spellStart"/>
      <w:r>
        <w:t>ul.Bližčická</w:t>
      </w:r>
      <w:proofErr w:type="spellEnd"/>
      <w:r>
        <w:t xml:space="preserve"> v Krnově </w:t>
      </w:r>
      <w:r w:rsidR="00DC3873">
        <w:t>je umístěno technologické zařízení, ve kterém dochází k čištění odpadních vod.</w:t>
      </w:r>
      <w:r w:rsidR="006750B7">
        <w:t xml:space="preserve"> Stručný popis zařízení: přítok odpadních vod – hrubé předčištění, lapač kamení a písku, hrubé a jemné česle, pračka shrabků, usazovací nádrž, aktivační nádrže, dosazovací nádrže, plynojem a plynové hospodářství, vyhnívací nádrže, kalové hospodářství, kogenerační jednotky. </w:t>
      </w:r>
    </w:p>
    <w:p w14:paraId="6088B050" w14:textId="77777777" w:rsidR="006750B7" w:rsidRDefault="006750B7" w:rsidP="006750B7">
      <w:pPr>
        <w:spacing w:after="254"/>
        <w:ind w:right="0" w:hanging="11"/>
        <w:contextualSpacing/>
        <w:rPr>
          <w:b/>
        </w:rPr>
      </w:pPr>
      <w:r>
        <w:rPr>
          <w:b/>
        </w:rPr>
        <w:t>RIZIKA možného ohrožení života a zdraví pro externí zaměstnance</w:t>
      </w:r>
    </w:p>
    <w:p w14:paraId="76E0C94C" w14:textId="77777777" w:rsidR="00A94FF4" w:rsidRDefault="00A94FF4" w:rsidP="00A94FF4">
      <w:pPr>
        <w:numPr>
          <w:ilvl w:val="0"/>
          <w:numId w:val="2"/>
        </w:numPr>
        <w:spacing w:after="38" w:line="248" w:lineRule="auto"/>
        <w:ind w:right="0" w:hanging="360"/>
        <w:jc w:val="left"/>
      </w:pPr>
      <w:r>
        <w:rPr>
          <w:b/>
        </w:rPr>
        <w:t xml:space="preserve">pád, zakopnutí, uklouznutí (pohyb osob – nerovnosti podlah, úniky olejů či jiných kapalin) </w:t>
      </w:r>
    </w:p>
    <w:p w14:paraId="289764EB" w14:textId="77777777" w:rsidR="00A94FF4" w:rsidRPr="00A94FF4" w:rsidRDefault="00A94FF4" w:rsidP="006750B7">
      <w:pPr>
        <w:pStyle w:val="Odstavecseseznamem"/>
        <w:numPr>
          <w:ilvl w:val="0"/>
          <w:numId w:val="2"/>
        </w:numPr>
        <w:spacing w:after="254"/>
        <w:ind w:right="0" w:hanging="391"/>
      </w:pPr>
      <w:r>
        <w:rPr>
          <w:b/>
        </w:rPr>
        <w:t>infekce při styku s odpadní vodou a kalem</w:t>
      </w:r>
    </w:p>
    <w:p w14:paraId="53074C09" w14:textId="77777777" w:rsidR="00A94FF4" w:rsidRPr="00A94FF4" w:rsidRDefault="00A94FF4" w:rsidP="006750B7">
      <w:pPr>
        <w:pStyle w:val="Odstavecseseznamem"/>
        <w:numPr>
          <w:ilvl w:val="0"/>
          <w:numId w:val="2"/>
        </w:numPr>
        <w:spacing w:after="254"/>
        <w:ind w:right="0" w:hanging="391"/>
      </w:pPr>
      <w:r>
        <w:rPr>
          <w:b/>
        </w:rPr>
        <w:t>utonutí (usazovací a dosazovací nádrže)</w:t>
      </w:r>
    </w:p>
    <w:p w14:paraId="59FCC5BE" w14:textId="77777777" w:rsidR="00A94FF4" w:rsidRPr="00A94FF4" w:rsidRDefault="00A94FF4" w:rsidP="006750B7">
      <w:pPr>
        <w:pStyle w:val="Odstavecseseznamem"/>
        <w:numPr>
          <w:ilvl w:val="0"/>
          <w:numId w:val="2"/>
        </w:numPr>
        <w:spacing w:after="254"/>
        <w:ind w:right="0" w:hanging="391"/>
      </w:pPr>
      <w:r>
        <w:rPr>
          <w:b/>
        </w:rPr>
        <w:t>nadměrný hluk (odstředivka kalu)</w:t>
      </w:r>
    </w:p>
    <w:p w14:paraId="513AE702" w14:textId="77777777" w:rsidR="00A94FF4" w:rsidRDefault="00A94FF4" w:rsidP="006750B7">
      <w:pPr>
        <w:pStyle w:val="Odstavecseseznamem"/>
        <w:numPr>
          <w:ilvl w:val="0"/>
          <w:numId w:val="2"/>
        </w:numPr>
        <w:spacing w:after="254"/>
        <w:ind w:right="0" w:hanging="391"/>
      </w:pPr>
      <w:r>
        <w:rPr>
          <w:b/>
        </w:rPr>
        <w:t>únik plynu (plynové hospodářství)</w:t>
      </w:r>
      <w:r w:rsidR="00DC3873">
        <w:t xml:space="preserve"> </w:t>
      </w:r>
    </w:p>
    <w:p w14:paraId="5BBD2186" w14:textId="77777777" w:rsidR="00D75FBC" w:rsidRDefault="00A94FF4" w:rsidP="006750B7">
      <w:pPr>
        <w:pStyle w:val="Odstavecseseznamem"/>
        <w:numPr>
          <w:ilvl w:val="0"/>
          <w:numId w:val="2"/>
        </w:numPr>
        <w:spacing w:after="254"/>
        <w:ind w:right="0" w:hanging="391"/>
        <w:rPr>
          <w:b/>
        </w:rPr>
      </w:pPr>
      <w:r w:rsidRPr="00A94FF4">
        <w:rPr>
          <w:b/>
        </w:rPr>
        <w:t xml:space="preserve">nebezpečí </w:t>
      </w:r>
      <w:r>
        <w:rPr>
          <w:b/>
        </w:rPr>
        <w:t xml:space="preserve">požáru a </w:t>
      </w:r>
      <w:r w:rsidRPr="00A94FF4">
        <w:rPr>
          <w:b/>
        </w:rPr>
        <w:t>výbuchu</w:t>
      </w:r>
      <w:r w:rsidR="00DC3873" w:rsidRPr="00A94FF4">
        <w:rPr>
          <w:b/>
        </w:rPr>
        <w:t xml:space="preserve"> </w:t>
      </w:r>
      <w:r>
        <w:rPr>
          <w:b/>
        </w:rPr>
        <w:t>(plynové hospodářství)</w:t>
      </w:r>
      <w:r w:rsidR="00FA6092" w:rsidRPr="00A94FF4">
        <w:rPr>
          <w:b/>
        </w:rPr>
        <w:t xml:space="preserve"> </w:t>
      </w:r>
      <w:r w:rsidR="00523AB3" w:rsidRPr="00A94FF4">
        <w:rPr>
          <w:b/>
        </w:rPr>
        <w:t xml:space="preserve"> </w:t>
      </w:r>
    </w:p>
    <w:p w14:paraId="01BBFDCE" w14:textId="77777777" w:rsidR="00A94FF4" w:rsidRDefault="00A94FF4" w:rsidP="006750B7">
      <w:pPr>
        <w:pStyle w:val="Odstavecseseznamem"/>
        <w:numPr>
          <w:ilvl w:val="0"/>
          <w:numId w:val="2"/>
        </w:numPr>
        <w:spacing w:after="254"/>
        <w:ind w:right="0" w:hanging="391"/>
        <w:rPr>
          <w:b/>
        </w:rPr>
      </w:pPr>
      <w:r>
        <w:rPr>
          <w:b/>
        </w:rPr>
        <w:t>stísněné prostory, zasažení hlavy a končetin</w:t>
      </w:r>
    </w:p>
    <w:p w14:paraId="24047F6F" w14:textId="77777777" w:rsidR="00A94FF4" w:rsidRDefault="00A94FF4" w:rsidP="006750B7">
      <w:pPr>
        <w:pStyle w:val="Odstavecseseznamem"/>
        <w:numPr>
          <w:ilvl w:val="0"/>
          <w:numId w:val="2"/>
        </w:numPr>
        <w:spacing w:after="254"/>
        <w:ind w:right="0" w:hanging="391"/>
        <w:rPr>
          <w:b/>
        </w:rPr>
      </w:pPr>
      <w:r>
        <w:rPr>
          <w:b/>
        </w:rPr>
        <w:t>poranění očí (kalové hospodářství)</w:t>
      </w:r>
    </w:p>
    <w:p w14:paraId="5B99969F" w14:textId="77777777" w:rsidR="00A94FF4" w:rsidRDefault="00A94FF4" w:rsidP="006750B7">
      <w:pPr>
        <w:pStyle w:val="Odstavecseseznamem"/>
        <w:numPr>
          <w:ilvl w:val="0"/>
          <w:numId w:val="2"/>
        </w:numPr>
        <w:spacing w:after="254"/>
        <w:ind w:right="0" w:hanging="391"/>
        <w:rPr>
          <w:b/>
        </w:rPr>
      </w:pPr>
      <w:r>
        <w:rPr>
          <w:b/>
        </w:rPr>
        <w:t>udušení (plynojem, plynové hospodářství, vyhnívací nádrže)</w:t>
      </w:r>
    </w:p>
    <w:p w14:paraId="2E3445AD" w14:textId="77777777" w:rsidR="00A94FF4" w:rsidRDefault="00A94FF4" w:rsidP="002D6CED">
      <w:pPr>
        <w:spacing w:after="254"/>
        <w:ind w:left="0" w:right="0" w:firstLine="0"/>
        <w:contextualSpacing/>
        <w:rPr>
          <w:b/>
        </w:rPr>
      </w:pPr>
      <w:r>
        <w:rPr>
          <w:b/>
        </w:rPr>
        <w:t>Zakázané činnosti</w:t>
      </w:r>
      <w:r w:rsidR="00502D10">
        <w:rPr>
          <w:b/>
        </w:rPr>
        <w:t>*</w:t>
      </w:r>
    </w:p>
    <w:p w14:paraId="2661D79D" w14:textId="77777777" w:rsidR="00502D10" w:rsidRDefault="00502D10" w:rsidP="00502D10">
      <w:pPr>
        <w:spacing w:after="254"/>
        <w:ind w:left="0" w:right="0" w:firstLine="0"/>
        <w:contextualSpacing/>
        <w:rPr>
          <w:b/>
        </w:rPr>
      </w:pPr>
      <w:r>
        <w:rPr>
          <w:b/>
        </w:rPr>
        <w:t>Je zakázáno pohybovat se po okrajích nádrží</w:t>
      </w:r>
    </w:p>
    <w:p w14:paraId="12996CBE" w14:textId="77777777" w:rsidR="00502D10" w:rsidRDefault="00502D10" w:rsidP="00502D10">
      <w:pPr>
        <w:spacing w:after="254"/>
        <w:ind w:left="0" w:right="0" w:firstLine="0"/>
        <w:contextualSpacing/>
        <w:rPr>
          <w:b/>
        </w:rPr>
      </w:pPr>
      <w:r>
        <w:rPr>
          <w:b/>
        </w:rPr>
        <w:t>Je zakázáno dotýkat se odpadní, předčištěné, čištěné vody a kalu</w:t>
      </w:r>
    </w:p>
    <w:p w14:paraId="22ED6C2C" w14:textId="77777777" w:rsidR="00502D10" w:rsidRDefault="00502D10" w:rsidP="00502D10">
      <w:pPr>
        <w:spacing w:after="254"/>
        <w:ind w:left="0" w:right="0" w:firstLine="0"/>
        <w:contextualSpacing/>
        <w:rPr>
          <w:b/>
        </w:rPr>
      </w:pPr>
      <w:r>
        <w:rPr>
          <w:b/>
        </w:rPr>
        <w:t>Je zakázáno dotýkat se nechráněných točivých částí technologie</w:t>
      </w:r>
    </w:p>
    <w:p w14:paraId="095BA1D7" w14:textId="77777777" w:rsidR="00502D10" w:rsidRDefault="00502D10" w:rsidP="00502D10">
      <w:pPr>
        <w:spacing w:after="254"/>
        <w:ind w:left="0" w:right="0" w:firstLine="0"/>
        <w:contextualSpacing/>
        <w:rPr>
          <w:b/>
        </w:rPr>
      </w:pPr>
      <w:r>
        <w:rPr>
          <w:b/>
        </w:rPr>
        <w:t>Je zakázáno vypínat nebo zapínat jakékoliv technologické zařízení</w:t>
      </w:r>
    </w:p>
    <w:p w14:paraId="1B5C5E05" w14:textId="77777777" w:rsidR="00502D10" w:rsidRDefault="00502D10" w:rsidP="00502D10">
      <w:pPr>
        <w:spacing w:after="254"/>
        <w:ind w:left="0" w:right="0" w:firstLine="0"/>
        <w:contextualSpacing/>
        <w:rPr>
          <w:b/>
        </w:rPr>
      </w:pPr>
      <w:r>
        <w:rPr>
          <w:b/>
        </w:rPr>
        <w:t xml:space="preserve">Je zakázáno manipulovat s otevřeným ohněm </w:t>
      </w:r>
    </w:p>
    <w:p w14:paraId="418FA009" w14:textId="77777777" w:rsidR="00502D10" w:rsidRDefault="00A94FF4" w:rsidP="00502D10">
      <w:pPr>
        <w:spacing w:after="254"/>
        <w:ind w:left="53" w:right="0"/>
      </w:pPr>
      <w:r w:rsidRPr="00A94FF4">
        <w:rPr>
          <w:b/>
        </w:rPr>
        <w:t xml:space="preserve"> </w:t>
      </w:r>
      <w:r w:rsidR="00502D10">
        <w:rPr>
          <w:b/>
          <w:vertAlign w:val="superscript"/>
        </w:rPr>
        <w:t>*</w:t>
      </w:r>
      <w:r w:rsidR="00502D10">
        <w:t xml:space="preserve">Tyto zákazy se nevztahují na práce související s výkonem jejich činnosti např. servis apod.  V tomto případě je povinností zaměstnanců externích firem seznámit se s pokyny pro obsluhu zařízení společnosti </w:t>
      </w:r>
      <w:proofErr w:type="spellStart"/>
      <w:r w:rsidR="00502D10">
        <w:t>KVaK</w:t>
      </w:r>
      <w:proofErr w:type="spellEnd"/>
      <w:r w:rsidR="00502D10">
        <w:t>, která budou pro výkon své činnosti obsluhovat.</w:t>
      </w:r>
    </w:p>
    <w:p w14:paraId="3DFB5847" w14:textId="77777777" w:rsidR="00A31457" w:rsidRDefault="00A31457" w:rsidP="00A31457">
      <w:pPr>
        <w:ind w:left="53" w:right="0"/>
      </w:pPr>
      <w:r>
        <w:t xml:space="preserve">Skládání a nakládání vlastních surovin, materiálu, pomocných látek a hmot smí externí firmy provádět jen na předem vyhrazených místech, nesmí přitom být znečišťováno okolí, nesmí být zužovány průjezdní průřezy a profily. V případě zúžení průjezdného profilu dopravní cesty je nutno místo viditelně označit, popřípadě zajistit dozor. Skladované materiály nesmí svým uložením ohrožovat jiné pracovníky. Po ukončení činnosti musí být místo uklizeno.  </w:t>
      </w:r>
    </w:p>
    <w:p w14:paraId="6E7681EB" w14:textId="77777777" w:rsidR="00502D10" w:rsidRDefault="00502D10" w:rsidP="00502D10">
      <w:pPr>
        <w:ind w:left="53" w:right="0"/>
      </w:pPr>
      <w:r>
        <w:t xml:space="preserve">Zaměstnanci externích firem musí být při zahájení prací vybaveni OOPP, které potřebují pro výkon své práce, popř. vyplývajících z rizika pracovišť, na němž svou činnost provádějí. Za vybavení </w:t>
      </w:r>
      <w:r>
        <w:lastRenderedPageBreak/>
        <w:t xml:space="preserve">zaměstnanců zodpovídá jejich zaměstnavatel. Je nutno dbát pokynů vedoucího pracovníka dotčeného pracoviště a před zahájením své činnosti jej </w:t>
      </w:r>
      <w:r>
        <w:rPr>
          <w:b/>
        </w:rPr>
        <w:t>písemně</w:t>
      </w:r>
      <w:r>
        <w:t xml:space="preserve"> informovat o rizicích vyplývajících z činnosti externích zaměstnanců.  </w:t>
      </w:r>
    </w:p>
    <w:p w14:paraId="18BEE61B" w14:textId="77777777" w:rsidR="00172FFB" w:rsidRDefault="00172FFB">
      <w:pPr>
        <w:spacing w:after="92" w:line="248" w:lineRule="auto"/>
        <w:ind w:left="41" w:right="0"/>
        <w:jc w:val="left"/>
        <w:rPr>
          <w:b/>
        </w:rPr>
      </w:pPr>
    </w:p>
    <w:p w14:paraId="53630450" w14:textId="244C289D" w:rsidR="00D75FBC" w:rsidRDefault="00523AB3">
      <w:pPr>
        <w:spacing w:after="92" w:line="248" w:lineRule="auto"/>
        <w:ind w:left="41" w:right="0"/>
        <w:jc w:val="left"/>
      </w:pPr>
      <w:r>
        <w:rPr>
          <w:b/>
        </w:rPr>
        <w:t xml:space="preserve">Používání vlastního elektrického nářadí </w:t>
      </w:r>
    </w:p>
    <w:p w14:paraId="18A9594A" w14:textId="77777777" w:rsidR="00D75FBC" w:rsidRDefault="00523AB3">
      <w:pPr>
        <w:spacing w:after="207"/>
        <w:ind w:left="53" w:right="0"/>
      </w:pPr>
      <w:r>
        <w:t xml:space="preserve">Používané nářadí napájené elektrickým proudem musí být v dobrém stavu — bez závad. Využívat elektrických rozvodů společnosti lze pouze na pokyn vedoucího pracovníka dotčeného pracoviště. Napájecí elektrické kabely musí být </w:t>
      </w:r>
      <w:r w:rsidR="006F41CE">
        <w:t>vedeny,</w:t>
      </w:r>
      <w:r>
        <w:t xml:space="preserve"> pokud možno co nejbezpečněji a musí být upraveny tak aby nemohlo dojít ke zranění. </w:t>
      </w:r>
    </w:p>
    <w:p w14:paraId="33D338C3" w14:textId="77777777" w:rsidR="00D75FBC" w:rsidRDefault="00523AB3">
      <w:pPr>
        <w:spacing w:after="92" w:line="248" w:lineRule="auto"/>
        <w:ind w:left="41" w:right="0"/>
        <w:jc w:val="left"/>
      </w:pPr>
      <w:r>
        <w:rPr>
          <w:b/>
        </w:rPr>
        <w:t xml:space="preserve">Práce ve výškách </w:t>
      </w:r>
    </w:p>
    <w:p w14:paraId="49355241" w14:textId="77777777" w:rsidR="00D75FBC" w:rsidRDefault="00523AB3">
      <w:pPr>
        <w:ind w:left="53" w:right="0"/>
      </w:pPr>
      <w:r>
        <w:t xml:space="preserve">Zakazuje se bez povolení provádět jakékoliv práce ve výškách, které by mohli omezit nebo ohrozit pracovníky </w:t>
      </w:r>
      <w:proofErr w:type="spellStart"/>
      <w:r w:rsidR="00B7778F">
        <w:t>KV</w:t>
      </w:r>
      <w:r w:rsidR="006F41CE">
        <w:t>a</w:t>
      </w:r>
      <w:r w:rsidR="00B7778F">
        <w:t>K</w:t>
      </w:r>
      <w:proofErr w:type="spellEnd"/>
      <w:r>
        <w:t xml:space="preserve">. Vedoucí zaměstnanec externí firmy je povinen </w:t>
      </w:r>
      <w:r>
        <w:rPr>
          <w:b/>
        </w:rPr>
        <w:t xml:space="preserve">písemně </w:t>
      </w:r>
      <w:r>
        <w:t xml:space="preserve">informovat vedoucího pracovníka dotčeného pracoviště o opatřeních k zajištění bezpečnosti a teprve po jeho souhlasu zahájit pracovní činnost.    Po celou dobu práce je povinen </w:t>
      </w:r>
      <w:r w:rsidR="002D6CED">
        <w:t>dodržovat NV</w:t>
      </w:r>
      <w:r>
        <w:t xml:space="preserve"> č.362/2005Sb a svou činností nezavdat možné ohrožení zaměstnanců </w:t>
      </w:r>
      <w:proofErr w:type="spellStart"/>
      <w:r w:rsidR="00B7778F">
        <w:t>KVaK</w:t>
      </w:r>
      <w:proofErr w:type="spellEnd"/>
      <w:r>
        <w:t xml:space="preserve">. Povolení pro práce ve výškách, obdrží vedoucí zaměstnanec externí firmy na požádání od vedoucího zaměstnance dotčeného pracoviště. </w:t>
      </w:r>
    </w:p>
    <w:p w14:paraId="526914B4" w14:textId="77777777" w:rsidR="00172FFB" w:rsidRDefault="00172FFB">
      <w:pPr>
        <w:spacing w:after="91" w:line="248" w:lineRule="auto"/>
        <w:ind w:left="41" w:right="0"/>
        <w:jc w:val="left"/>
        <w:rPr>
          <w:b/>
        </w:rPr>
      </w:pPr>
    </w:p>
    <w:p w14:paraId="1DA1510C" w14:textId="54300CD4" w:rsidR="00D75FBC" w:rsidRDefault="00523AB3">
      <w:pPr>
        <w:spacing w:after="91" w:line="248" w:lineRule="auto"/>
        <w:ind w:left="41" w:right="0"/>
        <w:jc w:val="left"/>
      </w:pPr>
      <w:r>
        <w:rPr>
          <w:b/>
        </w:rPr>
        <w:t xml:space="preserve">Svářečské práce a práce s otevřeným ohněm </w:t>
      </w:r>
    </w:p>
    <w:p w14:paraId="50AEED22" w14:textId="77777777" w:rsidR="00D75FBC" w:rsidRDefault="00523AB3">
      <w:pPr>
        <w:spacing w:after="254"/>
        <w:ind w:left="53" w:right="0"/>
      </w:pPr>
      <w:r>
        <w:t xml:space="preserve">Zakazuje se svařování a manipulace s otevřeným ohněm ve </w:t>
      </w:r>
      <w:r w:rsidR="002D6CED">
        <w:t>všech prostorách</w:t>
      </w:r>
      <w:r>
        <w:t xml:space="preserve">. Veškeré tyto práce smí být prováděny jen na základě písemného povolení ke sváření a pouze s vědomím vedoucího pracoviště. Při práci je nutno dodržet příslušné předpisy (např. ČSN 050600 a ČSN 050601). </w:t>
      </w:r>
    </w:p>
    <w:p w14:paraId="61CC1EE5" w14:textId="77777777" w:rsidR="00D75FBC" w:rsidRDefault="00523AB3">
      <w:pPr>
        <w:spacing w:after="91" w:line="248" w:lineRule="auto"/>
        <w:ind w:left="41" w:right="0"/>
        <w:jc w:val="left"/>
      </w:pPr>
      <w:r>
        <w:rPr>
          <w:b/>
        </w:rPr>
        <w:t xml:space="preserve">Ukládání odpadů vzniklých z činnosti. </w:t>
      </w:r>
    </w:p>
    <w:p w14:paraId="6ECA2675" w14:textId="77777777" w:rsidR="00D75FBC" w:rsidRDefault="00523AB3">
      <w:pPr>
        <w:ind w:left="53" w:right="0"/>
      </w:pPr>
      <w:r>
        <w:t xml:space="preserve">Všechny vznikající odpady z činnosti zaměstnanců externích firem se nesmí nechávat v areálu </w:t>
      </w:r>
      <w:proofErr w:type="spellStart"/>
      <w:r w:rsidR="00B7778F">
        <w:t>KV</w:t>
      </w:r>
      <w:r w:rsidR="006F41CE">
        <w:t>a</w:t>
      </w:r>
      <w:r w:rsidR="00B7778F">
        <w:t>K</w:t>
      </w:r>
      <w:proofErr w:type="spellEnd"/>
      <w:r>
        <w:t xml:space="preserve">. Tyto odpady musí externích firem odvážet s sebou. Třídění a ukládání odpadů do shromažďovacích nádob společnosti </w:t>
      </w:r>
      <w:proofErr w:type="spellStart"/>
      <w:r w:rsidR="00B7778F">
        <w:t>KV</w:t>
      </w:r>
      <w:r w:rsidR="006F41CE">
        <w:t>a</w:t>
      </w:r>
      <w:r w:rsidR="00B7778F">
        <w:t>K</w:t>
      </w:r>
      <w:proofErr w:type="spellEnd"/>
      <w:r>
        <w:t xml:space="preserve"> je povoleno jen po předchozím schválení odpovědného zaměstnance </w:t>
      </w:r>
      <w:proofErr w:type="spellStart"/>
      <w:r w:rsidR="00B7778F">
        <w:t>KV</w:t>
      </w:r>
      <w:r w:rsidR="006F41CE">
        <w:t>a</w:t>
      </w:r>
      <w:r w:rsidR="00B7778F">
        <w:t>K</w:t>
      </w:r>
      <w:proofErr w:type="spellEnd"/>
      <w:r>
        <w:t xml:space="preserve">. </w:t>
      </w:r>
    </w:p>
    <w:p w14:paraId="5C324C97" w14:textId="77777777" w:rsidR="00D75FBC" w:rsidRDefault="00523AB3">
      <w:pPr>
        <w:spacing w:after="207"/>
        <w:ind w:left="53" w:right="0"/>
      </w:pPr>
      <w:r>
        <w:t xml:space="preserve">V případě úniku nebezpečných látek jsou zaměstnanci externích firem povinni informovat vedoucího dotčeného pracoviště, řídit se jeho pokyny a podílet se na odstranění vzniklé havárie.  </w:t>
      </w:r>
    </w:p>
    <w:p w14:paraId="10B120E3" w14:textId="77777777" w:rsidR="00D75FBC" w:rsidRDefault="00523AB3">
      <w:pPr>
        <w:spacing w:after="90" w:line="248" w:lineRule="auto"/>
        <w:ind w:left="41" w:right="0"/>
        <w:jc w:val="left"/>
      </w:pPr>
      <w:r>
        <w:rPr>
          <w:b/>
        </w:rPr>
        <w:t xml:space="preserve">Požární ochrana </w:t>
      </w:r>
    </w:p>
    <w:p w14:paraId="76476ABF" w14:textId="77777777" w:rsidR="00D75FBC" w:rsidRDefault="00523AB3">
      <w:pPr>
        <w:ind w:left="53" w:right="0"/>
      </w:pPr>
      <w:r>
        <w:t xml:space="preserve">Zaměstnanci externích firem jsou povinni znát a dodržovat požárně bezpečnostní předpisy </w:t>
      </w:r>
      <w:proofErr w:type="spellStart"/>
      <w:r w:rsidR="00B7778F">
        <w:t>KV</w:t>
      </w:r>
      <w:r w:rsidR="006F41CE">
        <w:t>a</w:t>
      </w:r>
      <w:r w:rsidR="00B7778F">
        <w:t>K</w:t>
      </w:r>
      <w:proofErr w:type="spellEnd"/>
      <w:r>
        <w:t xml:space="preserve">, zejména požární poplachové směrnice a požární řády. Při jejich činnosti se zakazuje znemožňovat přístup k přenosným </w:t>
      </w:r>
      <w:proofErr w:type="gramStart"/>
      <w:r>
        <w:t>hasícím</w:t>
      </w:r>
      <w:proofErr w:type="gramEnd"/>
      <w:r>
        <w:t xml:space="preserve"> přístrojům a poškozovat nebo zneužívat tyto prostředky. </w:t>
      </w:r>
    </w:p>
    <w:p w14:paraId="2CD709C3" w14:textId="77777777" w:rsidR="00D75FBC" w:rsidRDefault="00523AB3">
      <w:pPr>
        <w:spacing w:after="210"/>
        <w:ind w:left="53" w:right="0"/>
      </w:pPr>
      <w:r>
        <w:t>V případě jakéhokoliv vzniku požáru musí postupovat dle požární poplachové směrnice a kaž</w:t>
      </w:r>
      <w:r w:rsidR="006F41CE">
        <w:t>d</w:t>
      </w:r>
      <w:r>
        <w:t xml:space="preserve">ý požár neprodleně nahlásit vedoucímu </w:t>
      </w:r>
      <w:r w:rsidR="006F41CE">
        <w:t>zaměstnanci</w:t>
      </w:r>
      <w:r>
        <w:t xml:space="preserve"> konkrétního pracoviště společnosti </w:t>
      </w:r>
      <w:proofErr w:type="spellStart"/>
      <w:r w:rsidR="006F41CE">
        <w:t>KVaK</w:t>
      </w:r>
      <w:proofErr w:type="spellEnd"/>
      <w:r w:rsidR="006F41CE">
        <w:t>, a</w:t>
      </w:r>
      <w:r>
        <w:t xml:space="preserve"> to i tehdy, když požár byl v zárodku uhašen a </w:t>
      </w:r>
      <w:r w:rsidR="006F41CE">
        <w:t>nevznikla žádná</w:t>
      </w:r>
      <w:r>
        <w:t xml:space="preserve"> škoda. </w:t>
      </w:r>
    </w:p>
    <w:p w14:paraId="509E58BA" w14:textId="77777777" w:rsidR="00D75FBC" w:rsidRDefault="00523AB3">
      <w:pPr>
        <w:spacing w:after="92" w:line="248" w:lineRule="auto"/>
        <w:ind w:left="41" w:right="0"/>
        <w:jc w:val="left"/>
      </w:pPr>
      <w:r>
        <w:rPr>
          <w:b/>
        </w:rPr>
        <w:t xml:space="preserve">Pracovní úrazy </w:t>
      </w:r>
    </w:p>
    <w:p w14:paraId="65BEBE12" w14:textId="77777777" w:rsidR="00D75FBC" w:rsidRDefault="00523AB3">
      <w:pPr>
        <w:spacing w:after="252"/>
        <w:ind w:left="53" w:right="0"/>
      </w:pPr>
      <w:r>
        <w:t xml:space="preserve">Dojde-li  na pracovišti </w:t>
      </w:r>
      <w:proofErr w:type="spellStart"/>
      <w:r w:rsidR="00B7778F">
        <w:t>KV</w:t>
      </w:r>
      <w:r w:rsidR="006F41CE">
        <w:t>a</w:t>
      </w:r>
      <w:r w:rsidR="00B7778F">
        <w:t>K</w:t>
      </w:r>
      <w:proofErr w:type="spellEnd"/>
      <w:r>
        <w:t xml:space="preserve">  ke vzniku pracovního úrazu zaměstnance  externích  firem  zdržujícího  se s vědomím zaměstnavatele na jeho pracovištích, je povinen o tom vedoucí pracovní skupiny nebo zraněná osoba ihned informovat odpovědného pracovníka </w:t>
      </w:r>
      <w:proofErr w:type="spellStart"/>
      <w:r w:rsidR="00B7778F">
        <w:t>KV</w:t>
      </w:r>
      <w:r w:rsidR="006F41CE">
        <w:t>a</w:t>
      </w:r>
      <w:r w:rsidR="00B7778F">
        <w:t>K</w:t>
      </w:r>
      <w:proofErr w:type="spellEnd"/>
      <w:r>
        <w:t xml:space="preserve">. Záznam o úrazu sepisuje zaměstnavatel postiženého společně se zástupcem společnosti </w:t>
      </w:r>
      <w:proofErr w:type="spellStart"/>
      <w:r w:rsidR="00B7778F">
        <w:t>KV</w:t>
      </w:r>
      <w:r w:rsidR="006F41CE">
        <w:t>a</w:t>
      </w:r>
      <w:r w:rsidR="00B7778F">
        <w:t>K</w:t>
      </w:r>
      <w:proofErr w:type="spellEnd"/>
      <w:r>
        <w:t xml:space="preserve">. </w:t>
      </w:r>
    </w:p>
    <w:p w14:paraId="6613C025" w14:textId="77777777" w:rsidR="00172FFB" w:rsidRDefault="00172FFB">
      <w:pPr>
        <w:spacing w:after="91" w:line="248" w:lineRule="auto"/>
        <w:ind w:left="41" w:right="0"/>
        <w:jc w:val="left"/>
        <w:rPr>
          <w:b/>
        </w:rPr>
      </w:pPr>
    </w:p>
    <w:p w14:paraId="618EA4F5" w14:textId="2A9660FE" w:rsidR="00D75FBC" w:rsidRDefault="00523AB3">
      <w:pPr>
        <w:spacing w:after="91" w:line="248" w:lineRule="auto"/>
        <w:ind w:left="41" w:right="0"/>
        <w:jc w:val="left"/>
      </w:pPr>
      <w:r>
        <w:rPr>
          <w:b/>
        </w:rPr>
        <w:lastRenderedPageBreak/>
        <w:t xml:space="preserve">Závěrečné ustanovení </w:t>
      </w:r>
    </w:p>
    <w:p w14:paraId="385B44D7" w14:textId="77777777" w:rsidR="00D75FBC" w:rsidRDefault="00523AB3">
      <w:pPr>
        <w:spacing w:after="236"/>
        <w:ind w:left="53" w:right="0"/>
      </w:pPr>
      <w:r>
        <w:t xml:space="preserve">Zaměstnanci externích firem a osoby zdržující se ve </w:t>
      </w:r>
      <w:proofErr w:type="spellStart"/>
      <w:r w:rsidR="006F41CE">
        <w:t>KVa</w:t>
      </w:r>
      <w:r w:rsidR="00B7778F">
        <w:t>K</w:t>
      </w:r>
      <w:proofErr w:type="spellEnd"/>
      <w:r>
        <w:t xml:space="preserve"> jsou povinni dodržovat případné další související bezpečnostní předpisy a pokyny od pověřeného zaměstnance </w:t>
      </w:r>
      <w:proofErr w:type="spellStart"/>
      <w:proofErr w:type="gramStart"/>
      <w:r w:rsidR="006F41CE">
        <w:t>KVa</w:t>
      </w:r>
      <w:r w:rsidR="00B7778F">
        <w:t>K</w:t>
      </w:r>
      <w:proofErr w:type="spellEnd"/>
      <w:r>
        <w:t xml:space="preserve"> s nimiž</w:t>
      </w:r>
      <w:proofErr w:type="gramEnd"/>
      <w:r>
        <w:t xml:space="preserve"> byli seznámeni zejména: </w:t>
      </w:r>
    </w:p>
    <w:p w14:paraId="206CACEC" w14:textId="77777777" w:rsidR="00D75FBC" w:rsidRDefault="006F41CE">
      <w:pPr>
        <w:spacing w:after="239"/>
        <w:ind w:left="53" w:right="0"/>
      </w:pPr>
      <w:r>
        <w:t>Pohybovat se</w:t>
      </w:r>
      <w:r w:rsidR="00523AB3">
        <w:t xml:space="preserve"> pouze po vymezených a označených komunikacích a nevzdalovat se ani nevycházet z trasy. </w:t>
      </w:r>
    </w:p>
    <w:p w14:paraId="043291C9" w14:textId="77777777" w:rsidR="00D75FBC" w:rsidRDefault="006F41CE">
      <w:pPr>
        <w:ind w:left="53" w:right="0"/>
      </w:pPr>
      <w:r>
        <w:t>Dodržovat zákaz</w:t>
      </w:r>
      <w:r w:rsidR="00523AB3">
        <w:t xml:space="preserve"> kouření v budově společnosti a požívání alkoholických nápojů, včetně užívaní omamných a psychotropních </w:t>
      </w:r>
      <w:r>
        <w:t>látek.</w:t>
      </w:r>
      <w:r w:rsidR="00523AB3">
        <w:t xml:space="preserve"> </w:t>
      </w:r>
    </w:p>
    <w:p w14:paraId="230F7A67" w14:textId="77777777" w:rsidR="00D75FBC" w:rsidRDefault="00523AB3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23D7859B" w14:textId="77777777" w:rsidR="00D75FBC" w:rsidRDefault="00523AB3">
      <w:pPr>
        <w:spacing w:after="386"/>
        <w:ind w:left="53" w:right="0"/>
      </w:pPr>
      <w:r>
        <w:t xml:space="preserve">Pořizovat záznamy na jakákoliv záznamová media výhradně se souhlasem průvodce. </w:t>
      </w:r>
    </w:p>
    <w:p w14:paraId="1E2D4A07" w14:textId="77777777" w:rsidR="00D75FBC" w:rsidRDefault="00523AB3">
      <w:pPr>
        <w:spacing w:after="392"/>
        <w:ind w:left="53" w:right="0"/>
      </w:pPr>
      <w:r>
        <w:t xml:space="preserve">Dodržovat písemné příkazy a zákazy, informace a výstrahy sdělované formou bezpečnostních tabulek a zvukovými signály. </w:t>
      </w:r>
    </w:p>
    <w:p w14:paraId="4A7DA34B" w14:textId="77777777" w:rsidR="00D75FBC" w:rsidRDefault="00523AB3">
      <w:pPr>
        <w:ind w:left="53" w:right="0"/>
      </w:pPr>
      <w:r>
        <w:t xml:space="preserve">Vnášet jakékoliv alkoholické nápoje, jiné návykové látky a zbraně. </w:t>
      </w:r>
    </w:p>
    <w:p w14:paraId="50EE494A" w14:textId="77777777" w:rsidR="00D75FBC" w:rsidRDefault="00523AB3">
      <w:pPr>
        <w:spacing w:after="87" w:line="259" w:lineRule="auto"/>
        <w:ind w:left="58" w:right="0" w:firstLine="0"/>
        <w:jc w:val="left"/>
      </w:pPr>
      <w:r>
        <w:t xml:space="preserve"> </w:t>
      </w:r>
    </w:p>
    <w:p w14:paraId="607E7BF0" w14:textId="77777777" w:rsidR="00D75FBC" w:rsidRPr="002D6CED" w:rsidRDefault="00523AB3">
      <w:pPr>
        <w:ind w:left="53" w:right="0"/>
        <w:rPr>
          <w:b/>
        </w:rPr>
      </w:pPr>
      <w:r w:rsidRPr="002D6CED">
        <w:rPr>
          <w:b/>
        </w:rPr>
        <w:t>Třiďte odpad na plasty, papír a směsný odpad do kontejnerů a nádob k tomu určených.</w:t>
      </w:r>
      <w:r w:rsidR="006F41CE" w:rsidRPr="002D6CED">
        <w:rPr>
          <w:b/>
        </w:rPr>
        <w:t xml:space="preserve"> </w:t>
      </w:r>
      <w:r w:rsidRPr="002D6CED">
        <w:rPr>
          <w:b/>
        </w:rPr>
        <w:t xml:space="preserve">Chovejte se ohleduplně k životnímu prostředí v celém areálu </w:t>
      </w:r>
      <w:r w:rsidR="006F41CE" w:rsidRPr="002D6CED">
        <w:rPr>
          <w:b/>
        </w:rPr>
        <w:t>naší společnosti</w:t>
      </w:r>
      <w:r w:rsidRPr="002D6CED">
        <w:rPr>
          <w:b/>
        </w:rPr>
        <w:t xml:space="preserve">. </w:t>
      </w:r>
    </w:p>
    <w:p w14:paraId="28E3E50E" w14:textId="29A3A330" w:rsidR="00D75FBC" w:rsidRDefault="00523AB3" w:rsidP="00172FFB">
      <w:pPr>
        <w:spacing w:after="0" w:line="259" w:lineRule="auto"/>
        <w:ind w:left="58" w:right="0" w:firstLine="0"/>
        <w:jc w:val="left"/>
      </w:pPr>
      <w:r>
        <w:t xml:space="preserve">  </w:t>
      </w:r>
    </w:p>
    <w:p w14:paraId="4633B515" w14:textId="233C8D36" w:rsidR="00C40A96" w:rsidRDefault="00523AB3">
      <w:pPr>
        <w:spacing w:after="257"/>
        <w:ind w:left="41" w:right="574"/>
        <w:jc w:val="left"/>
      </w:pPr>
      <w:proofErr w:type="gramStart"/>
      <w:r w:rsidRPr="009625F4">
        <w:t xml:space="preserve">V </w:t>
      </w:r>
      <w:r w:rsidR="00C40A96">
        <w:t xml:space="preserve"> dne:</w:t>
      </w:r>
      <w:proofErr w:type="gramEnd"/>
      <w:r w:rsidR="00C40A96">
        <w:t xml:space="preserve"> </w:t>
      </w:r>
      <w:r w:rsidRPr="009625F4">
        <w:t xml:space="preserve">  </w:t>
      </w:r>
      <w:r w:rsidR="0062096F">
        <w:t xml:space="preserve">         </w:t>
      </w:r>
      <w:r w:rsidR="00C40A96">
        <w:t xml:space="preserve">                                           </w:t>
      </w:r>
      <w:bookmarkStart w:id="0" w:name="_GoBack"/>
      <w:bookmarkEnd w:id="0"/>
      <w:r w:rsidR="00C40A96">
        <w:t xml:space="preserve">    Seznámil: </w:t>
      </w:r>
      <w:r>
        <w:t xml:space="preserve">                                                                         </w:t>
      </w:r>
      <w:r w:rsidR="00C40A96">
        <w:t xml:space="preserve">                   </w:t>
      </w:r>
    </w:p>
    <w:p w14:paraId="49D7110B" w14:textId="48B6ADF6" w:rsidR="00D75FBC" w:rsidRDefault="00523AB3">
      <w:pPr>
        <w:spacing w:after="257"/>
        <w:ind w:left="41" w:right="574"/>
        <w:jc w:val="left"/>
      </w:pPr>
      <w:r>
        <w:t xml:space="preserve">                                                                                           </w:t>
      </w:r>
    </w:p>
    <w:p w14:paraId="5AB5AD5C" w14:textId="77777777" w:rsidR="00D75FBC" w:rsidRDefault="00523AB3">
      <w:pPr>
        <w:spacing w:after="38" w:line="248" w:lineRule="auto"/>
        <w:ind w:left="41" w:right="0"/>
        <w:jc w:val="left"/>
      </w:pPr>
      <w:r>
        <w:rPr>
          <w:b/>
        </w:rPr>
        <w:t xml:space="preserve">Podpis návštěv a zaměstnanců externích firem je součástí prezenční listiny, která je součástí tohoto  dokumentu. </w:t>
      </w:r>
    </w:p>
    <w:p w14:paraId="06C87E83" w14:textId="77777777" w:rsidR="00D75FBC" w:rsidRDefault="00523AB3">
      <w:pPr>
        <w:spacing w:after="0" w:line="259" w:lineRule="auto"/>
        <w:ind w:left="46" w:right="0" w:firstLine="0"/>
        <w:jc w:val="left"/>
      </w:pPr>
      <w:r>
        <w:t xml:space="preserve"> </w:t>
      </w:r>
    </w:p>
    <w:tbl>
      <w:tblPr>
        <w:tblStyle w:val="TableGrid"/>
        <w:tblW w:w="10286" w:type="dxa"/>
        <w:tblInd w:w="-516" w:type="dxa"/>
        <w:tblCellMar>
          <w:top w:w="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24"/>
        <w:gridCol w:w="4672"/>
        <w:gridCol w:w="1884"/>
        <w:gridCol w:w="2806"/>
      </w:tblGrid>
      <w:tr w:rsidR="00D75FBC" w14:paraId="0CB9F378" w14:textId="77777777">
        <w:trPr>
          <w:trHeight w:val="1354"/>
        </w:trPr>
        <w:tc>
          <w:tcPr>
            <w:tcW w:w="10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FD34" w14:textId="1EBF3D69" w:rsidR="00D75FBC" w:rsidRDefault="00523AB3">
            <w:pPr>
              <w:spacing w:after="145" w:line="259" w:lineRule="auto"/>
              <w:ind w:left="0" w:right="0" w:firstLine="0"/>
              <w:jc w:val="left"/>
            </w:pPr>
            <w:r>
              <w:t xml:space="preserve"> Potvrzuji, že jsem se </w:t>
            </w:r>
            <w:proofErr w:type="gramStart"/>
            <w:r>
              <w:t>seznámil(a)</w:t>
            </w:r>
            <w:proofErr w:type="gramEnd"/>
            <w:r>
              <w:t xml:space="preserve">  </w:t>
            </w:r>
          </w:p>
          <w:p w14:paraId="0B5666FF" w14:textId="77777777" w:rsidR="00D75FBC" w:rsidRDefault="00523AB3">
            <w:pPr>
              <w:spacing w:after="0" w:line="259" w:lineRule="auto"/>
              <w:ind w:left="0" w:right="5" w:firstLine="0"/>
              <w:jc w:val="left"/>
            </w:pPr>
            <w:r>
              <w:t xml:space="preserve">s výše uvedenými bezpečnostními pokyny a riziky ve společnosti </w:t>
            </w:r>
            <w:r w:rsidR="006F41CE">
              <w:t>Krnovské vodovody a kanalizace, s.r.o</w:t>
            </w:r>
            <w:r>
              <w:t>., které budu dodržovat. Současně prohlašuji, že jsem byl seznámen s obsluhou a požíváním bezpečnostních zařízení v</w:t>
            </w:r>
            <w:r w:rsidR="000F24A0">
              <w:t xml:space="preserve"> těchto </w:t>
            </w:r>
            <w:r>
              <w:t>prostor</w:t>
            </w:r>
            <w:r w:rsidR="000F24A0">
              <w:t>á</w:t>
            </w:r>
            <w:r>
              <w:t>ch</w:t>
            </w:r>
            <w:r w:rsidR="000F24A0">
              <w:t>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D75FBC" w14:paraId="2FADBFBB" w14:textId="77777777" w:rsidTr="00172FFB">
        <w:trPr>
          <w:trHeight w:val="38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0A39" w14:textId="05B82B34" w:rsidR="00D75FBC" w:rsidRDefault="00523AB3" w:rsidP="00172FFB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>č.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1F6D" w14:textId="055E174D" w:rsidR="00D75FBC" w:rsidRDefault="00523AB3" w:rsidP="00172FFB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</w:rPr>
              <w:t>Jméno a příjmení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4F98" w14:textId="05B09B4D" w:rsidR="00D75FBC" w:rsidRDefault="00523AB3" w:rsidP="00172FFB">
            <w:pPr>
              <w:spacing w:after="0" w:line="259" w:lineRule="auto"/>
              <w:ind w:left="127" w:right="0" w:firstLine="0"/>
              <w:jc w:val="center"/>
            </w:pPr>
            <w:r>
              <w:rPr>
                <w:b/>
              </w:rPr>
              <w:t>Datum školení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6080" w14:textId="63428088" w:rsidR="00D75FBC" w:rsidRDefault="00523AB3" w:rsidP="00172FFB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>Podpis školeného</w:t>
            </w:r>
          </w:p>
        </w:tc>
      </w:tr>
      <w:tr w:rsidR="00D75FBC" w14:paraId="719C4A41" w14:textId="77777777" w:rsidTr="00172FFB">
        <w:trPr>
          <w:trHeight w:val="38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295F" w14:textId="087537EF" w:rsidR="00D75FBC" w:rsidRDefault="00523AB3" w:rsidP="00172FFB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1.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0372" w14:textId="1EF2E448" w:rsidR="00D75FBC" w:rsidRPr="00DE4A89" w:rsidRDefault="00D75FBC" w:rsidP="00C40A96">
            <w:pPr>
              <w:spacing w:after="0" w:line="259" w:lineRule="auto"/>
              <w:ind w:left="0" w:right="0" w:firstLine="0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EF67" w14:textId="5E27E583" w:rsidR="00D75FBC" w:rsidRPr="00DE4A89" w:rsidRDefault="00D75FBC" w:rsidP="00C40A96">
            <w:pPr>
              <w:spacing w:after="0" w:line="259" w:lineRule="auto"/>
              <w:ind w:left="0" w:right="0" w:firstLine="0"/>
              <w:rPr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204BA" w14:textId="17EF5F22" w:rsidR="00D75FBC" w:rsidRPr="00384380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75FBC" w14:paraId="27C00A65" w14:textId="77777777" w:rsidTr="00172FFB">
        <w:trPr>
          <w:trHeight w:val="37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9507" w14:textId="0949DE04" w:rsidR="00D75FBC" w:rsidRDefault="00523AB3" w:rsidP="00172FFB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2.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F94C" w14:textId="71D6F58C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A496" w14:textId="5E97019B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4EF60" w14:textId="622579FD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75FBC" w14:paraId="46BA5711" w14:textId="77777777" w:rsidTr="00172FFB">
        <w:trPr>
          <w:trHeight w:val="38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9A56" w14:textId="52C5C137" w:rsidR="00D75FBC" w:rsidRDefault="00523AB3" w:rsidP="00172FFB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3.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A053" w14:textId="079240D0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43C7" w14:textId="10CD1946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08E6" w14:textId="274F3E44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75FBC" w14:paraId="22EC6D9D" w14:textId="77777777" w:rsidTr="00172FFB">
        <w:trPr>
          <w:trHeight w:val="38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F639" w14:textId="26147425" w:rsidR="00D75FBC" w:rsidRDefault="00523AB3" w:rsidP="00172FFB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4.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DAC0" w14:textId="79B8872E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BCE9" w14:textId="3726E473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0338" w14:textId="6A16E99D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75FBC" w14:paraId="47E08904" w14:textId="77777777" w:rsidTr="00172FFB">
        <w:trPr>
          <w:trHeight w:val="38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D396" w14:textId="0C0D2413" w:rsidR="00D75FBC" w:rsidRDefault="00523AB3" w:rsidP="00172FFB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5.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FA22" w14:textId="6F2D9FED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BF9F" w14:textId="445D3BB0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055C" w14:textId="47C79AB1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75FBC" w14:paraId="1CB9301E" w14:textId="77777777" w:rsidTr="00172FFB">
        <w:trPr>
          <w:trHeight w:val="37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53C31" w14:textId="4F864447" w:rsidR="00D75FBC" w:rsidRDefault="00523AB3" w:rsidP="00172FFB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6.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E031" w14:textId="6CF638AC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A114" w14:textId="3CE9195E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379C" w14:textId="557F00CA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75FBC" w14:paraId="3D65E205" w14:textId="77777777" w:rsidTr="00172FFB">
        <w:trPr>
          <w:trHeight w:val="38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BD94" w14:textId="044E36D4" w:rsidR="00D75FBC" w:rsidRDefault="00523AB3" w:rsidP="00172FFB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7.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7F9B" w14:textId="479A16A4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108F" w14:textId="7D63712F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42114" w14:textId="6AFA0F95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75FBC" w14:paraId="64011CBB" w14:textId="77777777" w:rsidTr="00172FFB">
        <w:trPr>
          <w:trHeight w:val="38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A712" w14:textId="1634BC8B" w:rsidR="00D75FBC" w:rsidRDefault="00523AB3" w:rsidP="00172FFB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8.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1B6D" w14:textId="0031EC41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2626" w14:textId="16411F3B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5BE4" w14:textId="5B57D4F4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75FBC" w14:paraId="3E5C5DFE" w14:textId="77777777" w:rsidTr="00172FFB">
        <w:trPr>
          <w:trHeight w:val="38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82926" w14:textId="53917787" w:rsidR="00D75FBC" w:rsidRDefault="00523AB3" w:rsidP="00172FFB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9.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49E8" w14:textId="0EA34EC3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31E79" w14:textId="2A1144B7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F5F4" w14:textId="7385EAF5" w:rsidR="00D75FBC" w:rsidRDefault="00D75FBC" w:rsidP="00172FFB">
            <w:pPr>
              <w:spacing w:after="0" w:line="259" w:lineRule="auto"/>
              <w:ind w:left="0" w:right="0" w:firstLine="0"/>
              <w:jc w:val="center"/>
            </w:pPr>
          </w:p>
        </w:tc>
      </w:tr>
    </w:tbl>
    <w:p w14:paraId="2DC9ABA9" w14:textId="77777777" w:rsidR="00D75FBC" w:rsidRDefault="00523AB3">
      <w:pPr>
        <w:spacing w:after="0" w:line="259" w:lineRule="auto"/>
        <w:ind w:left="46" w:right="0" w:firstLine="0"/>
      </w:pPr>
      <w:r>
        <w:t xml:space="preserve"> </w:t>
      </w:r>
    </w:p>
    <w:sectPr w:rsidR="00D75FBC">
      <w:footerReference w:type="even" r:id="rId9"/>
      <w:footerReference w:type="default" r:id="rId10"/>
      <w:footerReference w:type="first" r:id="rId11"/>
      <w:pgSz w:w="11900" w:h="16840"/>
      <w:pgMar w:top="720" w:right="896" w:bottom="1612" w:left="1373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D5510" w14:textId="77777777" w:rsidR="005F3E32" w:rsidRDefault="005F3E32">
      <w:pPr>
        <w:spacing w:after="0" w:line="240" w:lineRule="auto"/>
      </w:pPr>
      <w:r>
        <w:separator/>
      </w:r>
    </w:p>
  </w:endnote>
  <w:endnote w:type="continuationSeparator" w:id="0">
    <w:p w14:paraId="0CD5CA31" w14:textId="77777777" w:rsidR="005F3E32" w:rsidRDefault="005F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3763" w14:textId="77777777" w:rsidR="00D75FBC" w:rsidRDefault="00523AB3">
    <w:pPr>
      <w:spacing w:after="0" w:line="259" w:lineRule="auto"/>
      <w:ind w:left="4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20"/>
      </w:rPr>
      <w:t>1</w:t>
    </w:r>
    <w:r>
      <w:rPr>
        <w:rFonts w:ascii="Verdana" w:eastAsia="Verdana" w:hAnsi="Verdana" w:cs="Verdana"/>
        <w:sz w:val="20"/>
      </w:rPr>
      <w:fldChar w:fldCharType="end"/>
    </w:r>
    <w:r>
      <w:rPr>
        <w:rFonts w:ascii="Verdana" w:eastAsia="Verdana" w:hAnsi="Verdana" w:cs="Verdana"/>
        <w:sz w:val="20"/>
      </w:rPr>
      <w:t xml:space="preserve"> z </w:t>
    </w:r>
    <w:fldSimple w:instr=" NUMPAGES   \* MERGEFORMAT ">
      <w:r w:rsidR="006547F9" w:rsidRPr="006547F9">
        <w:rPr>
          <w:rFonts w:ascii="Verdana" w:eastAsia="Verdana" w:hAnsi="Verdana" w:cs="Verdana"/>
          <w:noProof/>
          <w:sz w:val="20"/>
        </w:rPr>
        <w:t>4</w:t>
      </w:r>
    </w:fldSimple>
    <w:r>
      <w:rPr>
        <w:rFonts w:ascii="Verdana" w:eastAsia="Verdana" w:hAnsi="Verdana" w:cs="Verdana"/>
        <w:sz w:val="20"/>
      </w:rPr>
      <w:t xml:space="preserve"> </w:t>
    </w:r>
  </w:p>
  <w:p w14:paraId="4AFBB84A" w14:textId="77777777" w:rsidR="00D75FBC" w:rsidRDefault="00523AB3">
    <w:pPr>
      <w:spacing w:after="0" w:line="259" w:lineRule="auto"/>
      <w:ind w:left="1082" w:right="0" w:firstLine="0"/>
      <w:jc w:val="left"/>
    </w:pPr>
    <w:r>
      <w:rPr>
        <w:rFonts w:ascii="Verdana" w:eastAsia="Verdana" w:hAnsi="Verdana" w:cs="Verdana"/>
        <w:sz w:val="20"/>
      </w:rPr>
      <w:t xml:space="preserve">„Tento dokument je pouze informativní! Vytištěno dne 1.2.2016 9:42:56." </w:t>
    </w:r>
  </w:p>
  <w:p w14:paraId="35D9DB3B" w14:textId="77777777" w:rsidR="00D75FBC" w:rsidRDefault="00523AB3">
    <w:pPr>
      <w:spacing w:after="0" w:line="259" w:lineRule="auto"/>
      <w:ind w:left="111" w:right="0" w:firstLine="0"/>
      <w:jc w:val="center"/>
    </w:pPr>
    <w:r>
      <w:rPr>
        <w:rFonts w:ascii="Verdana" w:eastAsia="Verdana" w:hAnsi="Verdana" w:cs="Verdan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E620" w14:textId="77777777" w:rsidR="00D75FBC" w:rsidRDefault="00523AB3">
    <w:pPr>
      <w:spacing w:after="0" w:line="259" w:lineRule="auto"/>
      <w:ind w:left="4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0A96" w:rsidRPr="00C40A96">
      <w:rPr>
        <w:rFonts w:ascii="Verdana" w:eastAsia="Verdana" w:hAnsi="Verdana" w:cs="Verdana"/>
        <w:noProof/>
        <w:sz w:val="20"/>
      </w:rPr>
      <w:t>2</w:t>
    </w:r>
    <w:r>
      <w:rPr>
        <w:rFonts w:ascii="Verdana" w:eastAsia="Verdana" w:hAnsi="Verdana" w:cs="Verdana"/>
        <w:sz w:val="20"/>
      </w:rPr>
      <w:fldChar w:fldCharType="end"/>
    </w:r>
    <w:proofErr w:type="gramStart"/>
    <w:r>
      <w:rPr>
        <w:rFonts w:ascii="Verdana" w:eastAsia="Verdana" w:hAnsi="Verdana" w:cs="Verdana"/>
        <w:sz w:val="20"/>
      </w:rPr>
      <w:t xml:space="preserve"> z </w:t>
    </w:r>
    <w:proofErr w:type="gramEnd"/>
    <w:fldSimple w:instr=" NUMPAGES   \* MERGEFORMAT ">
      <w:r w:rsidR="00C40A96" w:rsidRPr="00C40A96">
        <w:rPr>
          <w:rFonts w:ascii="Verdana" w:eastAsia="Verdana" w:hAnsi="Verdana" w:cs="Verdana"/>
          <w:noProof/>
          <w:sz w:val="20"/>
        </w:rPr>
        <w:t>4</w:t>
      </w:r>
    </w:fldSimple>
    <w:r>
      <w:rPr>
        <w:rFonts w:ascii="Verdana" w:eastAsia="Verdana" w:hAnsi="Verdana" w:cs="Verdana"/>
        <w:sz w:val="20"/>
      </w:rPr>
      <w:t xml:space="preserve"> </w:t>
    </w:r>
  </w:p>
  <w:p w14:paraId="535B114C" w14:textId="77777777" w:rsidR="00D75FBC" w:rsidRDefault="00D75FBC">
    <w:pPr>
      <w:spacing w:after="0" w:line="259" w:lineRule="auto"/>
      <w:ind w:left="111" w:right="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DAA76" w14:textId="77777777" w:rsidR="00D75FBC" w:rsidRDefault="00523AB3">
    <w:pPr>
      <w:spacing w:after="0" w:line="259" w:lineRule="auto"/>
      <w:ind w:left="4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20"/>
      </w:rPr>
      <w:t>1</w:t>
    </w:r>
    <w:r>
      <w:rPr>
        <w:rFonts w:ascii="Verdana" w:eastAsia="Verdana" w:hAnsi="Verdana" w:cs="Verdana"/>
        <w:sz w:val="20"/>
      </w:rPr>
      <w:fldChar w:fldCharType="end"/>
    </w:r>
    <w:r>
      <w:rPr>
        <w:rFonts w:ascii="Verdana" w:eastAsia="Verdana" w:hAnsi="Verdana" w:cs="Verdana"/>
        <w:sz w:val="20"/>
      </w:rPr>
      <w:t xml:space="preserve"> z </w:t>
    </w:r>
    <w:fldSimple w:instr=" NUMPAGES   \* MERGEFORMAT ">
      <w:r w:rsidR="006547F9" w:rsidRPr="006547F9">
        <w:rPr>
          <w:rFonts w:ascii="Verdana" w:eastAsia="Verdana" w:hAnsi="Verdana" w:cs="Verdana"/>
          <w:noProof/>
          <w:sz w:val="20"/>
        </w:rPr>
        <w:t>4</w:t>
      </w:r>
    </w:fldSimple>
    <w:r>
      <w:rPr>
        <w:rFonts w:ascii="Verdana" w:eastAsia="Verdana" w:hAnsi="Verdana" w:cs="Verdana"/>
        <w:sz w:val="20"/>
      </w:rPr>
      <w:t xml:space="preserve"> </w:t>
    </w:r>
  </w:p>
  <w:p w14:paraId="14C154E6" w14:textId="77777777" w:rsidR="00D75FBC" w:rsidRDefault="00523AB3">
    <w:pPr>
      <w:spacing w:after="0" w:line="259" w:lineRule="auto"/>
      <w:ind w:left="1082" w:right="0" w:firstLine="0"/>
      <w:jc w:val="left"/>
    </w:pPr>
    <w:r>
      <w:rPr>
        <w:rFonts w:ascii="Verdana" w:eastAsia="Verdana" w:hAnsi="Verdana" w:cs="Verdana"/>
        <w:sz w:val="20"/>
      </w:rPr>
      <w:t xml:space="preserve">„Tento dokument je pouze informativní! Vytištěno dne 1.2.2016 9:42:56." </w:t>
    </w:r>
  </w:p>
  <w:p w14:paraId="57E2C1E9" w14:textId="77777777" w:rsidR="00D75FBC" w:rsidRDefault="00523AB3">
    <w:pPr>
      <w:spacing w:after="0" w:line="259" w:lineRule="auto"/>
      <w:ind w:left="111" w:right="0" w:firstLine="0"/>
      <w:jc w:val="center"/>
    </w:pPr>
    <w:r>
      <w:rPr>
        <w:rFonts w:ascii="Verdana" w:eastAsia="Verdana" w:hAnsi="Verdana" w:cs="Verdana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557D4" w14:textId="77777777" w:rsidR="005F3E32" w:rsidRDefault="005F3E32">
      <w:pPr>
        <w:spacing w:after="0" w:line="240" w:lineRule="auto"/>
      </w:pPr>
      <w:r>
        <w:separator/>
      </w:r>
    </w:p>
  </w:footnote>
  <w:footnote w:type="continuationSeparator" w:id="0">
    <w:p w14:paraId="64FF4389" w14:textId="77777777" w:rsidR="005F3E32" w:rsidRDefault="005F3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9345D"/>
    <w:multiLevelType w:val="hybridMultilevel"/>
    <w:tmpl w:val="1D56D90C"/>
    <w:lvl w:ilvl="0" w:tplc="4A422160">
      <w:start w:val="1"/>
      <w:numFmt w:val="bullet"/>
      <w:lvlText w:val="-"/>
      <w:lvlJc w:val="left"/>
      <w:pPr>
        <w:ind w:left="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AD626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565D4C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C8A7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5A7B6C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8E280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49B7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9652D6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C3C90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993E26"/>
    <w:multiLevelType w:val="hybridMultilevel"/>
    <w:tmpl w:val="D00CE91E"/>
    <w:lvl w:ilvl="0" w:tplc="DFD81CD0">
      <w:start w:val="1"/>
      <w:numFmt w:val="bullet"/>
      <w:lvlText w:val="-"/>
      <w:lvlJc w:val="left"/>
      <w:pPr>
        <w:ind w:left="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0E83C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A65B0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875EC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0CC08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7A0208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4082EE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968746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631F4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BC"/>
    <w:rsid w:val="000C0C6D"/>
    <w:rsid w:val="000F24A0"/>
    <w:rsid w:val="00103E5C"/>
    <w:rsid w:val="00141A42"/>
    <w:rsid w:val="00172FFB"/>
    <w:rsid w:val="00173A19"/>
    <w:rsid w:val="001F47F7"/>
    <w:rsid w:val="00265C80"/>
    <w:rsid w:val="00282F7C"/>
    <w:rsid w:val="002D6CED"/>
    <w:rsid w:val="003220AF"/>
    <w:rsid w:val="00384380"/>
    <w:rsid w:val="003D6E7C"/>
    <w:rsid w:val="00430764"/>
    <w:rsid w:val="004672BD"/>
    <w:rsid w:val="00502D10"/>
    <w:rsid w:val="00523AB3"/>
    <w:rsid w:val="00587005"/>
    <w:rsid w:val="005D5C48"/>
    <w:rsid w:val="005F3E32"/>
    <w:rsid w:val="0062096F"/>
    <w:rsid w:val="006547F9"/>
    <w:rsid w:val="006750B7"/>
    <w:rsid w:val="006F41CE"/>
    <w:rsid w:val="007730BA"/>
    <w:rsid w:val="007E6DB2"/>
    <w:rsid w:val="008C556B"/>
    <w:rsid w:val="008E10C1"/>
    <w:rsid w:val="00934B73"/>
    <w:rsid w:val="009625F4"/>
    <w:rsid w:val="00A31457"/>
    <w:rsid w:val="00A94FF4"/>
    <w:rsid w:val="00AB0664"/>
    <w:rsid w:val="00B56FD2"/>
    <w:rsid w:val="00B7778F"/>
    <w:rsid w:val="00B94C8C"/>
    <w:rsid w:val="00C40A96"/>
    <w:rsid w:val="00D6049D"/>
    <w:rsid w:val="00D60DC5"/>
    <w:rsid w:val="00D75FBC"/>
    <w:rsid w:val="00DC3873"/>
    <w:rsid w:val="00DE4A89"/>
    <w:rsid w:val="00E43F3C"/>
    <w:rsid w:val="00F417CC"/>
    <w:rsid w:val="00FA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6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" w:line="269" w:lineRule="auto"/>
      <w:ind w:left="56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6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6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49D"/>
    <w:rPr>
      <w:rFonts w:ascii="Times New Roman" w:eastAsia="Times New Roman" w:hAnsi="Times New Roman" w:cs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6750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96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" w:line="269" w:lineRule="auto"/>
      <w:ind w:left="56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6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6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49D"/>
    <w:rPr>
      <w:rFonts w:ascii="Times New Roman" w:eastAsia="Times New Roman" w:hAnsi="Times New Roman" w:cs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6750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96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1340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Seznámení s riziky společnosti ŠKODA TVC s.r.o. pro návštěvy a externí firmy</vt:lpstr>
    </vt:vector>
  </TitlesOfParts>
  <Company>Microsoft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Seznámení s riziky společnosti ŠKODA TVC s.r.o. pro návštěvy a externí firmy</dc:title>
  <dc:creator>roman.drabek</dc:creator>
  <cp:lastModifiedBy>COV</cp:lastModifiedBy>
  <cp:revision>8</cp:revision>
  <cp:lastPrinted>2025-05-09T05:15:00Z</cp:lastPrinted>
  <dcterms:created xsi:type="dcterms:W3CDTF">2025-02-21T07:53:00Z</dcterms:created>
  <dcterms:modified xsi:type="dcterms:W3CDTF">2025-07-04T06:44:00Z</dcterms:modified>
</cp:coreProperties>
</file>